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86850" w14:textId="77777777" w:rsidR="00BB2512" w:rsidRPr="00BB2512" w:rsidRDefault="00BB2512" w:rsidP="00B210F2">
      <w:pPr>
        <w:pStyle w:val="para"/>
        <w:spacing w:before="0" w:beforeAutospacing="0" w:after="0" w:afterAutospacing="0"/>
        <w:jc w:val="both"/>
        <w:rPr>
          <w:rStyle w:val="dropcap"/>
          <w:rFonts w:ascii="times" w:hAnsi="times"/>
          <w:color w:val="000000"/>
        </w:rPr>
      </w:pPr>
      <w:bookmarkStart w:id="0" w:name="_GoBack"/>
      <w:bookmarkEnd w:id="0"/>
    </w:p>
    <w:p w14:paraId="5D5391C6" w14:textId="77777777" w:rsidR="00BB2512" w:rsidRPr="00BB2512" w:rsidRDefault="00BB2512" w:rsidP="00BB2512">
      <w:pPr>
        <w:pStyle w:val="para"/>
        <w:spacing w:after="0"/>
        <w:jc w:val="both"/>
        <w:rPr>
          <w:rFonts w:ascii="times" w:hAnsi="times"/>
          <w:color w:val="FF0000"/>
        </w:rPr>
      </w:pPr>
      <w:r w:rsidRPr="00BB2512">
        <w:rPr>
          <w:rFonts w:ascii="times" w:hAnsi="times"/>
          <w:color w:val="FF0000"/>
        </w:rPr>
        <w:t>Analyze the mini-case study titled, </w:t>
      </w:r>
      <w:r w:rsidRPr="00BB2512">
        <w:rPr>
          <w:rFonts w:ascii="times" w:hAnsi="times"/>
          <w:i/>
          <w:iCs/>
          <w:color w:val="FF0000"/>
        </w:rPr>
        <w:t>“The Pocatello Prison Siting Story: A Case of Politics.”</w:t>
      </w:r>
      <w:r w:rsidRPr="00BB2512">
        <w:rPr>
          <w:rFonts w:ascii="times" w:hAnsi="times"/>
          <w:color w:val="FF0000"/>
        </w:rPr>
        <w:t> Your essay must incorporate the concepts from this week’s readings and must state how they relate to the rational or non-rational (i.e., political) approaches to policy analysis. At a minimum, your case study analysis essay must follow the following steps:</w:t>
      </w:r>
    </w:p>
    <w:p w14:paraId="6A0C41C1" w14:textId="77777777" w:rsidR="00BB2512" w:rsidRPr="00BB2512" w:rsidRDefault="00BB2512" w:rsidP="00BB2512">
      <w:pPr>
        <w:pStyle w:val="para"/>
        <w:numPr>
          <w:ilvl w:val="0"/>
          <w:numId w:val="1"/>
        </w:numPr>
        <w:spacing w:after="0"/>
        <w:jc w:val="both"/>
        <w:rPr>
          <w:rFonts w:ascii="times" w:hAnsi="times"/>
          <w:color w:val="FF0000"/>
        </w:rPr>
      </w:pPr>
      <w:r w:rsidRPr="00BB2512">
        <w:rPr>
          <w:rFonts w:ascii="times" w:hAnsi="times"/>
          <w:color w:val="FF0000"/>
        </w:rPr>
        <w:t>Identify the key issue or issues.</w:t>
      </w:r>
    </w:p>
    <w:p w14:paraId="7343675F" w14:textId="77777777" w:rsidR="00BB2512" w:rsidRPr="00BB2512" w:rsidRDefault="00BB2512" w:rsidP="00BB2512">
      <w:pPr>
        <w:pStyle w:val="para"/>
        <w:numPr>
          <w:ilvl w:val="0"/>
          <w:numId w:val="1"/>
        </w:numPr>
        <w:spacing w:after="0"/>
        <w:jc w:val="both"/>
        <w:rPr>
          <w:rFonts w:ascii="times" w:hAnsi="times"/>
          <w:color w:val="FF0000"/>
        </w:rPr>
      </w:pPr>
      <w:r w:rsidRPr="00BB2512">
        <w:rPr>
          <w:rFonts w:ascii="times" w:hAnsi="times"/>
          <w:color w:val="FF0000"/>
        </w:rPr>
        <w:t>Identify the likely root causes of the issues or problems.</w:t>
      </w:r>
    </w:p>
    <w:p w14:paraId="7BE194AE" w14:textId="77777777" w:rsidR="00BB2512" w:rsidRPr="00BB2512" w:rsidRDefault="00BB2512" w:rsidP="00BB2512">
      <w:pPr>
        <w:pStyle w:val="para"/>
        <w:numPr>
          <w:ilvl w:val="0"/>
          <w:numId w:val="1"/>
        </w:numPr>
        <w:spacing w:after="0"/>
        <w:jc w:val="both"/>
        <w:rPr>
          <w:rFonts w:ascii="times" w:hAnsi="times"/>
          <w:color w:val="FF0000"/>
        </w:rPr>
      </w:pPr>
      <w:r w:rsidRPr="00BB2512">
        <w:rPr>
          <w:rFonts w:ascii="times" w:hAnsi="times"/>
          <w:color w:val="FF0000"/>
        </w:rPr>
        <w:t>Determine the viable solutions to address or resolve the issues.</w:t>
      </w:r>
    </w:p>
    <w:p w14:paraId="1811CA14" w14:textId="77777777" w:rsidR="00BB2512" w:rsidRPr="00BB2512" w:rsidRDefault="00BB2512" w:rsidP="00BB2512">
      <w:pPr>
        <w:pStyle w:val="para"/>
        <w:numPr>
          <w:ilvl w:val="0"/>
          <w:numId w:val="1"/>
        </w:numPr>
        <w:spacing w:after="0"/>
        <w:jc w:val="both"/>
        <w:rPr>
          <w:rFonts w:ascii="times" w:hAnsi="times"/>
          <w:color w:val="FF0000"/>
        </w:rPr>
      </w:pPr>
      <w:r w:rsidRPr="00BB2512">
        <w:rPr>
          <w:rFonts w:ascii="times" w:hAnsi="times"/>
          <w:color w:val="FF0000"/>
        </w:rPr>
        <w:t>Assess the likely ramifications of all your suggested solutions (consider the risks and cost-benefit of each course of action).</w:t>
      </w:r>
    </w:p>
    <w:p w14:paraId="7D822645" w14:textId="77777777" w:rsidR="00BB2512" w:rsidRPr="00BB2512" w:rsidRDefault="00BB2512" w:rsidP="00BB2512">
      <w:pPr>
        <w:pStyle w:val="para"/>
        <w:numPr>
          <w:ilvl w:val="0"/>
          <w:numId w:val="1"/>
        </w:numPr>
        <w:spacing w:after="0"/>
        <w:jc w:val="both"/>
        <w:rPr>
          <w:rFonts w:ascii="times" w:hAnsi="times"/>
          <w:color w:val="FF0000"/>
        </w:rPr>
      </w:pPr>
      <w:r w:rsidRPr="00BB2512">
        <w:rPr>
          <w:rFonts w:ascii="times" w:hAnsi="times"/>
          <w:color w:val="FF0000"/>
        </w:rPr>
        <w:t>State your final recommendations</w:t>
      </w:r>
    </w:p>
    <w:p w14:paraId="1A43EC59" w14:textId="77777777" w:rsidR="00BB2512" w:rsidRDefault="00BB2512" w:rsidP="00B210F2">
      <w:pPr>
        <w:pStyle w:val="para"/>
        <w:spacing w:before="0" w:beforeAutospacing="0" w:after="0" w:afterAutospacing="0"/>
        <w:jc w:val="both"/>
        <w:rPr>
          <w:rStyle w:val="dropcap"/>
          <w:rFonts w:ascii="times" w:hAnsi="times"/>
          <w:color w:val="000000"/>
          <w:sz w:val="65"/>
          <w:szCs w:val="65"/>
        </w:rPr>
      </w:pPr>
    </w:p>
    <w:p w14:paraId="6B2EDB57" w14:textId="4A758A35" w:rsidR="00B210F2" w:rsidRDefault="00B210F2" w:rsidP="00B210F2">
      <w:pPr>
        <w:pStyle w:val="para"/>
        <w:spacing w:before="0" w:beforeAutospacing="0" w:after="0" w:afterAutospacing="0"/>
        <w:jc w:val="both"/>
        <w:rPr>
          <w:rFonts w:ascii="times" w:hAnsi="times"/>
          <w:color w:val="000000"/>
        </w:rPr>
      </w:pPr>
      <w:r>
        <w:rPr>
          <w:rStyle w:val="dropcap"/>
          <w:rFonts w:ascii="times" w:hAnsi="times"/>
          <w:color w:val="000000"/>
          <w:sz w:val="65"/>
          <w:szCs w:val="65"/>
        </w:rPr>
        <w:t>W</w:t>
      </w:r>
      <w:r>
        <w:rPr>
          <w:rFonts w:ascii="times" w:hAnsi="times"/>
          <w:color w:val="000000"/>
        </w:rPr>
        <w:t>hat is the best method of deciding where to put a new state prison? Many individuals, desiring rational policy, would argue that a new prison site should be located wherever the study of cost-benefit ratios suggests is most favorable. Perhaps proximity to the major population center of the state would be a major criterion. Or perhaps that would increase the cost of the land too much. A community with an available workforce trained in corrections and law enforcement would tip the scales of rationality. It might even be beneficial to build onto an existing prison rather than build an entirely new prison to reduce duplication of costs. For example, if you expanded an existing prison, you would still need only one warden.</w:t>
      </w:r>
    </w:p>
    <w:p w14:paraId="7FA192E3"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However, the process of siting a prison is less a rational process than a political one. Siting is based on state and local politics, coalition building, political compromise, partisan concerns, and political skill. This is not necessarily to argue that the political path is worse, nor that rationality plays no role. This is the real-life story of the siting of a prison in Idaho. As you read on, notice how rarely rational analysis is the story and how often the story is about political power plays.</w:t>
      </w:r>
    </w:p>
    <w:p w14:paraId="748CF916"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Early one year, the state of Idaho announced it would build a new women’s prison. The State Board of Corrections then announced that it would receive bids from Idaho communities. In </w:t>
      </w:r>
      <w:hyperlink r:id="rId5" w:anchor="chapter1" w:history="1">
        <w:r>
          <w:rPr>
            <w:rStyle w:val="Hyperlink"/>
            <w:rFonts w:ascii="times" w:hAnsi="times"/>
            <w:color w:val="006496"/>
          </w:rPr>
          <w:t>Chapter 1</w:t>
        </w:r>
      </w:hyperlink>
      <w:r>
        <w:rPr>
          <w:rFonts w:ascii="times" w:hAnsi="times"/>
          <w:color w:val="000000"/>
        </w:rPr>
        <w:t>, we discussed the fact that in the face of value conflict, government “authoritatively allocates values”—in other words, government decides who gets the goods. To some individuals, a prison may not seem like something a community would want. But to communities reeling from a nearly decade-long recession that had plagued many communities throughout Idaho, a prison is a source of stable (recession-proof) jobs. A new prison pumps additional money into a community’s economy through construction and maintenance and the buying of supplies, as well as by providing jobs.</w:t>
      </w:r>
    </w:p>
    <w:p w14:paraId="5F3CAD1D"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 xml:space="preserve">The city of Pocatello, Bannock County, had been hit extremely hard by the state’s economic downturn. Pocatello had lost hundreds of railroad jobs due to deregulation; a major regional trucking firm relocated to Salt Lake City, Utah; a major mining equipment corporation left town after the downturn in the mining industry; and deregulation also led to the loss of major airline service. The retail sector was hit hard, and major grocery chains and department stores closed shop and left town. Pocatello’s population dropped from 46,000 to 40,000 in less than a decade. The </w:t>
      </w:r>
      <w:r>
        <w:rPr>
          <w:rFonts w:ascii="times" w:hAnsi="times"/>
          <w:color w:val="000000"/>
        </w:rPr>
        <w:lastRenderedPageBreak/>
        <w:t>locals repeated the not-very-funny joke told in other such distressed communities: “Will the last person leaving Pocatello please turn out the lights?” It was eagerly decided to put in a bid for the prison.</w:t>
      </w:r>
    </w:p>
    <w:p w14:paraId="35CA0F92"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principles of pluralism and the very political nature of policy formation, discussed earlier in the text, are clearly illustrated in this tale. Pro-development interest groups in Pocatello (e.g., the Chamber of Commerce, the Real Estate Association, the Banker’s Association) all strongly supported the city’s bid for the prison. These groups all publicly announced their support and worked behind the scenes by writing letters of support to the State Board of Corrections and using political means to gain the support of Bannock County’s state elected officials and of the governor of Idaho.</w:t>
      </w:r>
    </w:p>
    <w:p w14:paraId="23C42C4E"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Early in the process, interest group support was strong because the prison offered concentrated benefits (to the community’s financial, construction, and real estate sectors) and diffused costs. The interest groups wove stories that portrayed the benefits as diffused through a multiplier/ripple effect in the economy that would benefit the community’s economy as a whole. In light of this persuasion, along with clear benefits and vague costs, and given the past economic downturn in Pocatello, citizen opposition to the project was virtually nonexistent. The pro-prison interest group support was highly visible, advancing its position, calling radio talk shows, and writing letters to the newspaper. The group gained strong support, indeed sponsorship, from the city’s elected officials. It developed a specific plan to bring the prison to Pocatello.</w:t>
      </w:r>
    </w:p>
    <w:p w14:paraId="37E48520"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issue quickly found status on the policy agenda of the Pocatello City Council. They quickly searched for available sites for the proposed prison. With strong interest group support and little, if any, opposition, the city announced that the proposed site for the new prison would be in north Pocatello/Chubbuck. (Chubbuck is a small bedroom community adjacent to Pocatello.) Called the Philbin Road site, this area was, at the time, largely agricultural, and there was plenty of room to build a new correctional facility.</w:t>
      </w:r>
    </w:p>
    <w:p w14:paraId="54D3FFD4"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Philbin Road site had one significant flaw, however. The site, located in the north Pocatello valley, was in a U.S. Environmental Protection Agency (EPA) “nonattainment” zone. The EPA designates air quality as either meeting minimum air quality standards (an attainment zone) or as not meeting these standards. Opposition arose quickly from outside the community as the American Civil Liberties Union (ACLU) immediately threatened a lawsuit against Idaho if the Philbin Road site was selected. The threatened lawsuit’s basis was an assertion that forcing prisoners to live in an area with significant amounts of air pollution would violate the prisoner’s rights to a healthy quality of life.</w:t>
      </w:r>
    </w:p>
    <w:p w14:paraId="640A54BC"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state of Idaho, fearing that a lawsuit could delay the siting of the prison for years and increase costs significantly, removed Pocatello from the list of potential locations. The state had, in fact, apparently decided that the state capital of Boise would receive the siting of the prison. Boise, home of the men’s correctional facility, seemed a natural choice, having a highly trained and available correctional workforce. Boise and then-Mayor Dirk Kempthorne (R) were both considered success stories. While Pocatello was suffering, Boise grew tremendously. An economic success, it became a major regional city.</w:t>
      </w:r>
    </w:p>
    <w:p w14:paraId="7B619FA3"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Following the announcement that Boise would be the new prison site, and consistent with pluralism’s notion of an open system, the ACLU exited the political system because its interest had been satisfied. However, the pro-growth interest groups in Pocatello began their political maneuvering. Under pressure from the pro-prison interest groups, the state legislative coalition from Pocatello traveled to Boise to meet with Governor Cecil Andrus and to cash in a </w:t>
      </w:r>
      <w:r>
        <w:rPr>
          <w:rFonts w:ascii="times" w:hAnsi="times"/>
          <w:b/>
          <w:bCs/>
          <w:color w:val="000000"/>
        </w:rPr>
        <w:t>political IOU</w:t>
      </w:r>
      <w:r>
        <w:rPr>
          <w:rFonts w:ascii="times" w:hAnsi="times"/>
          <w:color w:val="000000"/>
        </w:rPr>
        <w:t>.</w:t>
      </w:r>
    </w:p>
    <w:p w14:paraId="6B362D45"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lastRenderedPageBreak/>
        <w:t>A political IOU is what we described in the </w:t>
      </w:r>
      <w:hyperlink r:id="rId6" w:history="1">
        <w:r>
          <w:rPr>
            <w:rStyle w:val="Hyperlink"/>
            <w:rFonts w:ascii="times" w:hAnsi="times"/>
            <w:color w:val="006496"/>
          </w:rPr>
          <w:t>first chapter</w:t>
        </w:r>
      </w:hyperlink>
      <w:r>
        <w:rPr>
          <w:rFonts w:ascii="times" w:hAnsi="times"/>
          <w:color w:val="000000"/>
        </w:rPr>
        <w:t> as a political trade. Cashing in a political IOU occurs when a group of elected officials, interest groups, or elites demand (and subsequently receive) a political favor in return for past political favors or allegiances. Governor Andrus, a Democrat in a heavily Republican state, always relied heavily on Pocatello for votes and support. The Democratic majority in Pocatello had been instrumental in Andrus’s very narrow gubernatorial victory over the Republican challenger David Leroy. The state legislative delegation had faithfully supported Andrus and had helped deliver votes. In fact, the governor’s political debts went back to his two victories the previous decade. The legislative delegation reminded Andrus of Pocatello’s role in his political victories and prodded the governor to reconsider Pocatello as a prison site.</w:t>
      </w:r>
    </w:p>
    <w:p w14:paraId="1873900D"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At this point, Boise Mayor Dirk Kempthorne announced that because Pocatello had been hit so hard by economic downturn, he would support the new prison being built there rather than in Boise. The mayor’s announcement shocked casual observers of politics, but astute students of Idaho’s politics knew that Kempthorne was gearing up for a race for an open U.S. Senate seat and that his generosity at this time primed him for support from Pocatello.</w:t>
      </w:r>
    </w:p>
    <w:p w14:paraId="246A106D"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Meanwhile, Governor Andrus, understanding the political necessity of trading and rewarding, agreed to put political pressure on the Idaho State Board of Corrections to “reconsider” Pocatello. Within a week the Board announced that Pocatello was back in the running for the prison. Remember that politics occurs at multiple levels. In other words, the pro-prison interest groups in Pocatello used politics on the state legislators, who, in turn, used politics on the governor, who, we must assume, used politics on the Board of Corrections.</w:t>
      </w:r>
    </w:p>
    <w:p w14:paraId="1404E6F0"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city of Pocatello, not only back in the ballgame, but the apparent political winner, announced that a new location for the prison had been chosen. Virtually all that had to be accomplished was the “simple” implementation of building the new prison in Pocatello. Yet, as we shall see, politics does not stop at the implementation stage. The new site, Cusick Creek, was on Pocatello’s west mountain bench. Consistent with the principles of pluralism, group theory, and the politics of policy formation, an established interest group entered the political system, and one new interest group formed to enter the fray.</w:t>
      </w:r>
    </w:p>
    <w:p w14:paraId="1B1C47A7" w14:textId="77777777" w:rsidR="00B210F2" w:rsidRDefault="00B210F2" w:rsidP="00B210F2">
      <w:pPr>
        <w:pStyle w:val="NormalWeb"/>
        <w:spacing w:before="0" w:beforeAutospacing="0" w:after="0" w:afterAutospacing="0"/>
        <w:ind w:firstLine="360"/>
        <w:jc w:val="both"/>
        <w:rPr>
          <w:rFonts w:ascii="times" w:hAnsi="times"/>
          <w:color w:val="000000"/>
        </w:rPr>
      </w:pPr>
      <w:r>
        <w:rPr>
          <w:rFonts w:ascii="times" w:hAnsi="times"/>
          <w:color w:val="000000"/>
        </w:rPr>
        <w:t>The established interest group was the local chapter of the Sierra Club. This environmental interest group was resisting the siting of the prison in the Cusick Creek area because the location was in a federally protected watershed that was supposed to be protected from development. The prison violated the group’s interests, namely, protecting the local environment from damaging development. The Sierra Club mobilized political opposition to the new location and most notably used its political ties to the local congressional representative, U.S. House of Representatives member Richard Stallings (D–ID). Stallings, no longer in Congress, had been somewhat supportive of Idaho environmentalists. Because the new prison site would require congressional action to delist it as a federal watershed, the Sierra Club’s connection to Stallings was a strong political resource.</w:t>
      </w:r>
    </w:p>
    <w:p w14:paraId="41FBE97E" w14:textId="77777777" w:rsidR="00F10E85" w:rsidRDefault="00F10E8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74B51"/>
    <w:multiLevelType w:val="multilevel"/>
    <w:tmpl w:val="3E62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0F2"/>
    <w:rsid w:val="0000757A"/>
    <w:rsid w:val="00B210F2"/>
    <w:rsid w:val="00BB2512"/>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5198"/>
  <w15:chartTrackingRefBased/>
  <w15:docId w15:val="{1679E401-A21B-4B3D-90D6-7C3E200F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B210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DefaultParagraphFont"/>
    <w:rsid w:val="00B210F2"/>
  </w:style>
  <w:style w:type="paragraph" w:styleId="NormalWeb">
    <w:name w:val="Normal (Web)"/>
    <w:basedOn w:val="Normal"/>
    <w:uiPriority w:val="99"/>
    <w:semiHidden/>
    <w:unhideWhenUsed/>
    <w:rsid w:val="00B210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10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1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317246749/epub/OEBPS/08-9781315630342_chapter1.xhtml" TargetMode="External"/><Relationship Id="rId5" Type="http://schemas.openxmlformats.org/officeDocument/2006/relationships/hyperlink" Target="https://jigsaw.vitalsource.com/books/9781317246749/epub/OEBPS/08-9781315630342_chapter1.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1852</Words>
  <Characters>8965</Characters>
  <Application>Microsoft Office Word</Application>
  <DocSecurity>0</DocSecurity>
  <Lines>114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2019-07-07T16:03:00Z</dcterms:created>
  <dcterms:modified xsi:type="dcterms:W3CDTF">2019-07-07T16:03:00Z</dcterms:modified>
</cp:coreProperties>
</file>